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  <w:lang w:val="es-ES"/>
        </w:rPr>
      </w:pPr>
      <w:r w:rsidRPr="00EE386F">
        <w:rPr>
          <w:rFonts w:ascii="Calibri" w:eastAsia="Calibri" w:hAnsi="Calibri" w:cs="Calibri"/>
          <w:b/>
          <w:smallCaps/>
          <w:color w:val="000000"/>
          <w:sz w:val="32"/>
          <w:szCs w:val="32"/>
          <w:lang w:val="es-ES"/>
        </w:rPr>
        <w:t>Alvaro Fuentes Castro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  <w:lang w:val="es-ES"/>
        </w:rPr>
      </w:pP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>https://www.linkedin.com/in/alvarofuentes/</w:t>
      </w:r>
    </w:p>
    <w:p w:rsidR="00734345" w:rsidRDefault="001D54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2"/>
          <w:szCs w:val="32"/>
        </w:rPr>
      </w:pPr>
      <w:bookmarkStart w:id="0" w:name="_gjdgxs" w:colFirst="0" w:colLast="0"/>
      <w:bookmarkEnd w:id="0"/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óvil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 +56 9 9827 6042 ▪  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Email </w:t>
      </w:r>
      <w:hyperlink r:id="rId5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afuentesc@gmail.com</w:t>
        </w:r>
      </w:hyperlink>
    </w:p>
    <w:p w:rsidR="00734345" w:rsidRDefault="001D54EA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smallCaps/>
          <w:color w:val="000000"/>
          <w:sz w:val="16"/>
          <w:szCs w:val="16"/>
        </w:rPr>
        <w:t xml:space="preserve"> </w:t>
      </w:r>
    </w:p>
    <w:p w:rsidR="00734345" w:rsidRDefault="0073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734345" w:rsidRDefault="001D54EA">
      <w:pPr>
        <w:pBdr>
          <w:bottom w:val="single" w:sz="12" w:space="1" w:color="000000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Executive summary</w:t>
      </w:r>
    </w:p>
    <w:p w:rsidR="00734345" w:rsidRDefault="007343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Ejecutivo de negocios, MBA Internacional, con vasta experiencia en compañías multinacionales y entornos multiculturales, historial comprobado en racionalización de recursos, redimensionamiento organizacional, reestructuración de negocios, formación de depa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rtamento de servicios compartidos en América del Sur,  revisión y evaluación de contratos, estructuras comerciales y proyectos. Amplia experiencia en finanzas corporativas, liderazgo en transformación digital para implementación de sistemas de gestión múlt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iple (SAP / Oracle / </w:t>
      </w:r>
      <w:proofErr w:type="spellStart"/>
      <w:r w:rsidRPr="00EE386F">
        <w:rPr>
          <w:rFonts w:ascii="Calibri" w:eastAsia="Calibri" w:hAnsi="Calibri" w:cs="Calibri"/>
          <w:sz w:val="21"/>
          <w:szCs w:val="21"/>
          <w:lang w:val="es-ES"/>
        </w:rPr>
        <w:t>Mfg</w:t>
      </w:r>
      <w:proofErr w:type="spellEnd"/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-Pro / Microsoft </w:t>
      </w:r>
      <w:proofErr w:type="spellStart"/>
      <w:r w:rsidRPr="00EE386F">
        <w:rPr>
          <w:rFonts w:ascii="Calibri" w:eastAsia="Calibri" w:hAnsi="Calibri" w:cs="Calibri"/>
          <w:sz w:val="21"/>
          <w:szCs w:val="21"/>
          <w:lang w:val="es-ES"/>
        </w:rPr>
        <w:t>Dynimics</w:t>
      </w:r>
      <w:proofErr w:type="spellEnd"/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/ EPICOR); formación de centros de excelencia operacional (</w:t>
      </w:r>
      <w:proofErr w:type="spellStart"/>
      <w:r w:rsidRPr="00EE386F">
        <w:rPr>
          <w:rFonts w:ascii="Calibri" w:eastAsia="Calibri" w:hAnsi="Calibri" w:cs="Calibri"/>
          <w:sz w:val="21"/>
          <w:szCs w:val="21"/>
          <w:lang w:val="es-ES"/>
        </w:rPr>
        <w:t>HUBs</w:t>
      </w:r>
      <w:proofErr w:type="spellEnd"/>
      <w:r w:rsidRPr="00EE386F">
        <w:rPr>
          <w:rFonts w:ascii="Calibri" w:eastAsia="Calibri" w:hAnsi="Calibri" w:cs="Calibri"/>
          <w:sz w:val="21"/>
          <w:szCs w:val="21"/>
          <w:lang w:val="es-ES"/>
        </w:rPr>
        <w:t>); con experiencia en estructuras de informes USGAAP, SOX e IFRS incluido Presupuesto/Proyección. Desarrollo de cuadros de mando que conectan e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strategia y ejecución (KPI).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Fuerte orientación hacia la planificación estratégica y comercial, gestión del cambio y mejora de procesos administrativos. Altamente capacitado en el manejo de transacciones y situaciones organizaciones complejas, negociacion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es y cumplimiento de estándares internacionales de contabilidad. Sus excelentes habilidades de liderazgo y comunicación, han ayudado a liderar con éxito equipos de trabajo en Industrias manufactureras,  de servicios y minería en América del Sur (Chile, Per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ú, Brasil, Argentina, Colombia, Uruguay y Ecuador). Experiencia internacional trabajando y viviendo en Suecia, Estados Unidos y Australia.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Con pensamiento estratégico global, socio genuino en la entrega de valor agregado, líder apasionado en la formación 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y desarrollo de trabajo en equipo en entornos de trabajo multiculturales y globales que  brinda retroalimentación de valor agregado teniendo como objetivo principal la mejora continua de su  equipo, la búsqueda proactiva de apoyo y resolución de problemas 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cuando se requiera. Enérgico y altamente orientado a los resultados con un enfoque especial en los objetivos financieros (KPI), desempeño de seguridad, mejoras de margen y experiencia de valor para los accionistas.</w:t>
      </w:r>
    </w:p>
    <w:p w:rsidR="00734345" w:rsidRPr="00EE386F" w:rsidRDefault="00734345">
      <w:pPr>
        <w:widowControl w:val="0"/>
        <w:ind w:right="432"/>
        <w:jc w:val="both"/>
        <w:rPr>
          <w:rFonts w:ascii="Calibri" w:eastAsia="Calibri" w:hAnsi="Calibri" w:cs="Calibri"/>
          <w:sz w:val="21"/>
          <w:szCs w:val="21"/>
          <w:lang w:val="es-ES"/>
        </w:rPr>
      </w:pPr>
    </w:p>
    <w:p w:rsidR="00734345" w:rsidRPr="00EE386F" w:rsidRDefault="001D54EA">
      <w:pPr>
        <w:rPr>
          <w:rFonts w:ascii="Calibri" w:eastAsia="Calibri" w:hAnsi="Calibri" w:cs="Calibri"/>
          <w:sz w:val="24"/>
          <w:szCs w:val="24"/>
          <w:lang w:val="es-ES"/>
        </w:rPr>
      </w:pPr>
      <w:r w:rsidRPr="00EE386F">
        <w:rPr>
          <w:rFonts w:ascii="Calibri" w:eastAsia="Calibri" w:hAnsi="Calibri" w:cs="Calibri"/>
          <w:b/>
          <w:smallCaps/>
          <w:sz w:val="24"/>
          <w:szCs w:val="24"/>
          <w:lang w:val="es-ES"/>
        </w:rPr>
        <w:t xml:space="preserve">Antecedentes profesionales </w:t>
      </w:r>
      <w:r w:rsidRPr="00EE386F">
        <w:rPr>
          <w:rFonts w:ascii="Calibri" w:eastAsia="Calibri" w:hAnsi="Calibri" w:cs="Calibri"/>
          <w:b/>
          <w:smallCaps/>
          <w:sz w:val="24"/>
          <w:szCs w:val="24"/>
          <w:lang w:val="es-ES"/>
        </w:rPr>
        <w:t xml:space="preserve">             </w:t>
      </w:r>
      <w:r w:rsidRPr="00EE386F">
        <w:rPr>
          <w:rFonts w:ascii="Calibri" w:eastAsia="Calibri" w:hAnsi="Calibri" w:cs="Calibri"/>
          <w:b/>
          <w:smallCaps/>
          <w:sz w:val="24"/>
          <w:szCs w:val="24"/>
          <w:lang w:val="es-ES"/>
        </w:rPr>
        <w:t xml:space="preserve">                                                                                         </w:t>
      </w:r>
    </w:p>
    <w:p w:rsidR="00734345" w:rsidRPr="00EE386F" w:rsidRDefault="001D54EA">
      <w:pPr>
        <w:rPr>
          <w:rFonts w:ascii="Calibri" w:eastAsia="Calibri" w:hAnsi="Calibri" w:cs="Calibri"/>
          <w:sz w:val="16"/>
          <w:szCs w:val="16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67512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8440" y="378000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67512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1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 xml:space="preserve">Vicepresidente de Finanzas de Sudamérica (FLSmidth) </w:t>
      </w:r>
      <w:r w:rsidR="00EE386F">
        <w:rPr>
          <w:rFonts w:ascii="Calibri" w:eastAsia="Calibri" w:hAnsi="Calibri" w:cs="Calibri"/>
          <w:b/>
          <w:lang w:val="es-ES"/>
        </w:rPr>
        <w:tab/>
      </w:r>
      <w:r w:rsidRPr="00EE386F">
        <w:rPr>
          <w:rFonts w:ascii="Calibri" w:eastAsia="Calibri" w:hAnsi="Calibri" w:cs="Calibri"/>
          <w:b/>
          <w:lang w:val="es-ES"/>
        </w:rPr>
        <w:t>2017-2019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>(Servicios de productos, fabricación, mantenimiento e ingeniería, responsabilidad general 2000 emplead</w:t>
      </w:r>
      <w:r w:rsidRPr="00EE386F">
        <w:rPr>
          <w:rFonts w:ascii="Calibri" w:eastAsia="Calibri" w:hAnsi="Calibri" w:cs="Calibri"/>
          <w:b/>
          <w:lang w:val="es-ES"/>
        </w:rPr>
        <w:t>os; DKK $ 5,8B - Industria minera)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Líder del Departamento de Finanzas LATAM y socio comercial del Presidente regional con total autonomía y avalado por la gerencia. 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Liderar y guiar al equipo administrativo (impuestos, tesorería, finanzas, asociación comercial, instalaciones, servicios lega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les, contables, de TI y otras funciones de soporte). Responsabilidades principales: impulsar el rendimiento, establecer objetivos y KPI, anticipar, equilibrar la demanda y estimular a controladores , maximizar nuestra posición comercial, desarrollar el equ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ipo y tomar decisiones de valor agregado.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b/>
          <w:color w:val="000000"/>
          <w:sz w:val="21"/>
          <w:szCs w:val="21"/>
          <w:lang w:val="es-ES"/>
        </w:rPr>
        <w:t xml:space="preserve">  </w:t>
      </w:r>
    </w:p>
    <w:p w:rsidR="00734345" w:rsidRPr="00EE386F" w:rsidRDefault="001D54EA">
      <w:pPr>
        <w:numPr>
          <w:ilvl w:val="0"/>
          <w:numId w:val="1"/>
        </w:numPr>
        <w:rPr>
          <w:sz w:val="21"/>
          <w:szCs w:val="21"/>
          <w:highlight w:val="white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Líder en el proceso de transformación de la estructura local a una estructura regional, partición en la gestión estratégica y de cambio del proceso de transformación que incluyen estructuras organizacionales, modelo de negocio y nuevos procesos y procedimi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entos para la región incluyendo los procesos de transformación digital ERP, RRHH entre otros.</w:t>
      </w:r>
    </w:p>
    <w:p w:rsidR="00734345" w:rsidRPr="00EE386F" w:rsidRDefault="001D54EA">
      <w:pPr>
        <w:numPr>
          <w:ilvl w:val="0"/>
          <w:numId w:val="1"/>
        </w:numPr>
        <w:rPr>
          <w:sz w:val="21"/>
          <w:szCs w:val="21"/>
          <w:highlight w:val="white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Líder de la implementación exitosa de un ERP en la entidad chilena, que en 8 meses logró la migración de 17 sistemas a uno solo, liderando un equipo de 50 asociad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os.</w:t>
      </w:r>
    </w:p>
    <w:p w:rsidR="00734345" w:rsidRPr="00EE386F" w:rsidRDefault="001D54EA">
      <w:pPr>
        <w:numPr>
          <w:ilvl w:val="0"/>
          <w:numId w:val="1"/>
        </w:numPr>
        <w:rPr>
          <w:sz w:val="21"/>
          <w:szCs w:val="21"/>
          <w:highlight w:val="white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Introducción del "Concepto de socio comercial", que establece las finanzas como parte del negocio para generar soluciones de valor agregado para apoyar el crecimiento del negocio.</w:t>
      </w:r>
    </w:p>
    <w:p w:rsidR="00734345" w:rsidRPr="00EE386F" w:rsidRDefault="001D54EA">
      <w:pPr>
        <w:numPr>
          <w:ilvl w:val="0"/>
          <w:numId w:val="1"/>
        </w:numPr>
        <w:rPr>
          <w:sz w:val="21"/>
          <w:szCs w:val="21"/>
          <w:highlight w:val="white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Gestión que logra ahorro fiscal de U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$ 49M, a través de la revisión y el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 apoyo a la preparación de un reclamo contra el SII en Chile, dado el rechazo de la institución a la fusión de dos compañías dando como resultado un ahorro fiscal de la suma antes mencionada.</w:t>
      </w:r>
    </w:p>
    <w:p w:rsidR="00734345" w:rsidRPr="00EE386F" w:rsidRDefault="001D54EA">
      <w:pPr>
        <w:numPr>
          <w:ilvl w:val="0"/>
          <w:numId w:val="1"/>
        </w:numPr>
        <w:rPr>
          <w:sz w:val="21"/>
          <w:szCs w:val="21"/>
          <w:highlight w:val="white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Mejoramiento sustancial del entorno de control interno mediante 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el desarrollo y creación  de nuevos procesos y procedimientos que enlazaron las áreas de finanzas y negocios.</w:t>
      </w:r>
    </w:p>
    <w:p w:rsidR="00734345" w:rsidRPr="00EE386F" w:rsidRDefault="001D54EA">
      <w:pPr>
        <w:numPr>
          <w:ilvl w:val="0"/>
          <w:numId w:val="1"/>
        </w:numPr>
        <w:rPr>
          <w:sz w:val="21"/>
          <w:szCs w:val="21"/>
          <w:highlight w:val="white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Líder de la implementación del proceso de triple certificación (2015 ISO - 9001-14001 y </w:t>
      </w:r>
      <w:proofErr w:type="spellStart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Osha</w:t>
      </w:r>
      <w:proofErr w:type="spellEnd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 18001) originalmente destinado a implementarse en dic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iembre de 2017, proceso que necesitó de una fuerte intervención dado el 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lastRenderedPageBreak/>
        <w:t>abandono del mismo hasta junio de 2017. Logré acelerar el proyecto y cumplir con la fecha objetivo con éxito y a tiempo.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>Consultor estratégico y de gestión (CFO interino) Sudaméri</w:t>
      </w:r>
      <w:r w:rsidR="00EE386F">
        <w:rPr>
          <w:rFonts w:ascii="Calibri" w:eastAsia="Calibri" w:hAnsi="Calibri" w:cs="Calibri"/>
          <w:b/>
          <w:lang w:val="es-ES"/>
        </w:rPr>
        <w:t>ca</w:t>
      </w:r>
      <w:r w:rsidRPr="00EE386F">
        <w:rPr>
          <w:rFonts w:ascii="Calibri" w:eastAsia="Calibri" w:hAnsi="Calibri" w:cs="Calibri"/>
          <w:b/>
          <w:color w:val="000000"/>
          <w:lang w:val="es-ES"/>
        </w:rPr>
        <w:tab/>
      </w:r>
      <w:r w:rsidRPr="00EE386F">
        <w:rPr>
          <w:rFonts w:ascii="Calibri" w:eastAsia="Calibri" w:hAnsi="Calibri" w:cs="Calibri"/>
          <w:b/>
          <w:lang w:val="es-ES"/>
        </w:rPr>
        <w:t>Ene</w:t>
      </w:r>
      <w:r w:rsidRPr="00EE386F">
        <w:rPr>
          <w:rFonts w:ascii="Calibri" w:eastAsia="Calibri" w:hAnsi="Calibri" w:cs="Calibri"/>
          <w:b/>
          <w:lang w:val="es-ES"/>
        </w:rPr>
        <w:t xml:space="preserve">ro </w:t>
      </w:r>
      <w:r w:rsidRPr="00EE386F">
        <w:rPr>
          <w:rFonts w:ascii="Calibri" w:eastAsia="Calibri" w:hAnsi="Calibri" w:cs="Calibri"/>
          <w:b/>
          <w:color w:val="000000"/>
          <w:lang w:val="es-ES"/>
        </w:rPr>
        <w:t xml:space="preserve"> 2017 – Junio 2017 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EE386F">
        <w:rPr>
          <w:rFonts w:ascii="Calibri" w:eastAsia="Calibri" w:hAnsi="Calibri" w:cs="Calibri"/>
          <w:b/>
          <w:sz w:val="20"/>
          <w:szCs w:val="20"/>
          <w:lang w:val="es-ES"/>
        </w:rPr>
        <w:t>(Servicios de ingeniería, industria de energía renovable y emprendedores)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</w:p>
    <w:p w:rsidR="00734345" w:rsidRPr="00EE386F" w:rsidRDefault="001D54EA">
      <w:pPr>
        <w:numPr>
          <w:ilvl w:val="0"/>
          <w:numId w:val="2"/>
        </w:numPr>
        <w:rPr>
          <w:sz w:val="24"/>
          <w:szCs w:val="24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Consultor estratégico para emprendedores de SaaS definiendo el plan de negocios, modelo comercial y estrategia de expansión internacional para la empresa,  mo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dernización de los sistemas de informes, estrategia de fundación de capital y preparación para inversores, creación del modelo de estructura de la empresa para la inserción en el mercado en la regional de América del Sur, apoyo en la contratación de talent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o local preparando a la empresa para la próxima fase. </w:t>
      </w:r>
    </w:p>
    <w:p w:rsidR="00734345" w:rsidRPr="00EE386F" w:rsidRDefault="001D54EA">
      <w:pPr>
        <w:numPr>
          <w:ilvl w:val="0"/>
          <w:numId w:val="2"/>
        </w:numPr>
        <w:rPr>
          <w:sz w:val="24"/>
          <w:szCs w:val="24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Consultor de procesos en el sector de energías renovables, apoyando la puesta en marcha de un spin-off de un actor más relevante en la región y la creación de una Oficina LATAM, desarrollo de la defini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ción del procesos principales y desarrollo de políticas de la empresa para los departamentos de </w:t>
      </w:r>
      <w:proofErr w:type="spellStart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Contract</w:t>
      </w:r>
      <w:proofErr w:type="spellEnd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 to Cash, </w:t>
      </w:r>
      <w:proofErr w:type="spellStart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Procurement</w:t>
      </w:r>
      <w:proofErr w:type="spellEnd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 to </w:t>
      </w:r>
      <w:proofErr w:type="spellStart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Pay</w:t>
      </w:r>
      <w:proofErr w:type="spellEnd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 y </w:t>
      </w:r>
      <w:proofErr w:type="spellStart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Travel</w:t>
      </w:r>
      <w:proofErr w:type="spellEnd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 </w:t>
      </w:r>
      <w:proofErr w:type="spellStart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Administration</w:t>
      </w:r>
      <w:proofErr w:type="spellEnd"/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>, actuando como CFO interino para coordinar actividades y para la configuración del sistema ERP de l</w:t>
      </w:r>
      <w:r w:rsidRPr="00EE386F">
        <w:rPr>
          <w:rFonts w:ascii="Calibri" w:eastAsia="Calibri" w:hAnsi="Calibri" w:cs="Calibri"/>
          <w:sz w:val="21"/>
          <w:szCs w:val="21"/>
          <w:highlight w:val="white"/>
          <w:lang w:val="es-ES"/>
        </w:rPr>
        <w:t xml:space="preserve">a empresa, seleccionando al proveedor y desarrollando el marco para la implementación a corto plazo. 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 xml:space="preserve">Director de Finanzas/Comercial Ausenco South </w:t>
      </w:r>
      <w:proofErr w:type="spellStart"/>
      <w:r w:rsidRPr="00EE386F">
        <w:rPr>
          <w:rFonts w:ascii="Calibri" w:eastAsia="Calibri" w:hAnsi="Calibri" w:cs="Calibri"/>
          <w:b/>
          <w:lang w:val="es-ES"/>
        </w:rPr>
        <w:t>America</w:t>
      </w:r>
      <w:proofErr w:type="spellEnd"/>
      <w:r w:rsidRPr="00EE386F">
        <w:rPr>
          <w:rFonts w:ascii="Calibri" w:eastAsia="Calibri" w:hAnsi="Calibri" w:cs="Calibri"/>
          <w:b/>
          <w:lang w:val="es-ES"/>
        </w:rPr>
        <w:tab/>
        <w:t>2010 -  2016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>(Servicios de ingeniería, responsabilidad general 500 empleados; A $ 150 millones - industria minera)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El papel principal como Director Financiero Regional fue impulsar estratégicamente la región e integrar múltiples culturas existentes  antes de la compra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múltiples de M&amp;A definiendo los principales impulsores dentro del negocio y potenciado el negocio en la integración, apoyo integral del negocio en todos los aspectos financieros y en la estrategia y definición de la visión de la compañía.   Socio comercia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l principal para los presidentes regionales, llegando a asumir el liderazgo comercial de la región, definiendo y creando el equipo de propuestas y liderando las negociaciones con múltiples clientes y la estructura de acuerdos para la empresa.</w:t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 xml:space="preserve">   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 xml:space="preserve">   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Iniciativas de reducción de costos que se alineaban a los gastos generales con una perspectiva comercial actual reducida, definiendo KPI para monitorear y buscar puntos de ahorro y equilibrio para cada oficina (ahorro total en 2015 U $ 5 millones adicional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es).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Líder en la iniciativa de eliminación de informes de Excel a través de la capacitación y entrenamiento gerencial en el uso de herramientas de informes en línea y apoyo para impulsar resultados comerciales rentables. 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Implementación de iniciativas de c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ooperación dentro de la región (centro de ingeniería regional en Brasil, Chile y Perú (concepto de celda de valor en la región) y la definición de KPI y el desarrollo de herramientas de informes (eliminación del 80% de los informes de Excel) con una mejora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significativa del desempeño financiero.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Implementación de servicios compartidos, centros regionales en Santiago, Vancouver y Brisbane y reorganización de entidades legales de 14 entidades a 5 en la región.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Mejora del sistema financiero, reduciendo 36 sist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emas financieros a 5 sistemas en la región, en la actualidad solo 3 sistemas operativos. Mayor valor para el accionista al reducir el riesgo operativo: (a) reducir la fuga de margen; (b) reducción de gastos generales; y (c) mejora de los gastos reembolsabl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es.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Implementación de iniciativas de reducción de costos que resultan en ahorros de U$ 7 millones en Sudamérica, asociándose con el negocio para lograr este objetivo en 2013 (U$ 4 millones en supervisión directa). Las revisiones adicionales en 2014 llevaro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n a un ahorro adicional de U$ 1M en la región sin afectar el desarrollo del negocio.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Facilitador de Planes de Desarrollo de Gestión en Ausenco (participó como orador en América del Sur y América del Norte), facilitador para el gerente de proyecto de Ausenc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o en América del Sur.</w:t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 xml:space="preserve">  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 xml:space="preserve">Director Financiero </w:t>
      </w:r>
      <w:proofErr w:type="spellStart"/>
      <w:r w:rsidRPr="00EE386F">
        <w:rPr>
          <w:rFonts w:ascii="Calibri" w:eastAsia="Calibri" w:hAnsi="Calibri" w:cs="Calibri"/>
          <w:b/>
          <w:lang w:val="es-ES"/>
        </w:rPr>
        <w:t>MinePro</w:t>
      </w:r>
      <w:proofErr w:type="spellEnd"/>
      <w:r w:rsidRPr="00EE386F">
        <w:rPr>
          <w:rFonts w:ascii="Calibri" w:eastAsia="Calibri" w:hAnsi="Calibri" w:cs="Calibri"/>
          <w:b/>
          <w:lang w:val="es-ES"/>
        </w:rPr>
        <w:t xml:space="preserve"> a </w:t>
      </w:r>
      <w:proofErr w:type="spellStart"/>
      <w:r w:rsidRPr="00EE386F">
        <w:rPr>
          <w:rFonts w:ascii="Calibri" w:eastAsia="Calibri" w:hAnsi="Calibri" w:cs="Calibri"/>
          <w:b/>
          <w:lang w:val="es-ES"/>
        </w:rPr>
        <w:t>Joy</w:t>
      </w:r>
      <w:proofErr w:type="spellEnd"/>
      <w:r w:rsidRPr="00EE386F">
        <w:rPr>
          <w:rFonts w:ascii="Calibri" w:eastAsia="Calibri" w:hAnsi="Calibri" w:cs="Calibri"/>
          <w:b/>
          <w:lang w:val="es-ES"/>
        </w:rPr>
        <w:t xml:space="preserve"> Global Company, Australasia,</w:t>
      </w:r>
      <w:r w:rsidRPr="00EE386F">
        <w:rPr>
          <w:rFonts w:ascii="Calibri" w:eastAsia="Calibri" w:hAnsi="Calibri" w:cs="Calibri"/>
          <w:b/>
          <w:lang w:val="es-ES"/>
        </w:rPr>
        <w:tab/>
      </w:r>
      <w:r w:rsidRPr="00EE386F">
        <w:rPr>
          <w:rFonts w:ascii="Calibri" w:eastAsia="Calibri" w:hAnsi="Calibri" w:cs="Calibri"/>
          <w:b/>
          <w:color w:val="000000"/>
          <w:lang w:val="es-ES"/>
        </w:rPr>
        <w:t>2009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ES"/>
        </w:rPr>
      </w:pPr>
      <w:r w:rsidRPr="00EE386F">
        <w:rPr>
          <w:rFonts w:ascii="Calibri" w:eastAsia="Calibri" w:hAnsi="Calibri" w:cs="Calibri"/>
          <w:b/>
          <w:color w:val="000000"/>
          <w:sz w:val="20"/>
          <w:szCs w:val="20"/>
          <w:lang w:val="es-ES"/>
        </w:rPr>
        <w:t xml:space="preserve"> (Piezas, servicios, Compra y fabricación  R&amp;R ; Responsabilidad general 380 empleados; A $ 210M - Industria minera)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left="720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Desempeño financiero - ganancia récord ROS 25%; crecimiento de ventas 136% año tras año.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Liderazgo en iniciativas de ahorro de costos; ahorros totales U $ 5M, negociaciones con proveedores con un 7% de reducción.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Diseño e implementación de una estructura f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uncional de 494 empleados a 378 que muestra ahorros superiores a U $ 6M.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lastRenderedPageBreak/>
        <w:t>Incrementación del valor de los accionistas al reducir el riesgo de transacción: (a) introducción de nuevos controles y procesos de gestión en torno a los contratos; (b) desarrollo de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un cambio cultural dentro del negocio hacia una mayor responsabilidad en la gestión y mitigación de riesgos; y (c) corrección de desequilibrios de riesgo en  contratos con clientes a largo plazo, según correspondiese.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Desarrollo y participación en la inic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iativa de servicios compartidos, integración de 3 negocios a 2 y en el proceso de integración de toda la actividad transaccional.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Supervisión de Auditorías Internas con 29 problemas abiertos hasta el final de año a Zero, revisión de  SOX con un 100% de apr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obación y Auditorías Externas sin problemas relevantes.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left="720"/>
        <w:jc w:val="both"/>
        <w:rPr>
          <w:rFonts w:ascii="Calibri" w:eastAsia="Calibri" w:hAnsi="Calibri" w:cs="Calibri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lang w:val="es-ES"/>
        </w:rPr>
      </w:pPr>
      <w:r w:rsidRPr="00EE386F">
        <w:rPr>
          <w:rFonts w:ascii="Calibri" w:eastAsia="Calibri" w:hAnsi="Calibri" w:cs="Calibri"/>
          <w:b/>
          <w:lang w:val="es-ES"/>
        </w:rPr>
        <w:t xml:space="preserve">Otros roles significativos dentro de </w:t>
      </w:r>
      <w:proofErr w:type="spellStart"/>
      <w:r w:rsidRPr="00EE386F">
        <w:rPr>
          <w:rFonts w:ascii="Calibri" w:eastAsia="Calibri" w:hAnsi="Calibri" w:cs="Calibri"/>
          <w:b/>
          <w:lang w:val="es-ES"/>
        </w:rPr>
        <w:t>MinePro</w:t>
      </w:r>
      <w:proofErr w:type="spellEnd"/>
      <w:r w:rsidRPr="00EE386F">
        <w:rPr>
          <w:rFonts w:ascii="Calibri" w:eastAsia="Calibri" w:hAnsi="Calibri" w:cs="Calibri"/>
          <w:b/>
          <w:lang w:val="es-ES"/>
        </w:rPr>
        <w:t xml:space="preserve"> a </w:t>
      </w:r>
      <w:proofErr w:type="spellStart"/>
      <w:r w:rsidRPr="00EE386F">
        <w:rPr>
          <w:rFonts w:ascii="Calibri" w:eastAsia="Calibri" w:hAnsi="Calibri" w:cs="Calibri"/>
          <w:b/>
          <w:lang w:val="es-ES"/>
        </w:rPr>
        <w:t>Joy</w:t>
      </w:r>
      <w:proofErr w:type="spellEnd"/>
      <w:r w:rsidRPr="00EE386F">
        <w:rPr>
          <w:rFonts w:ascii="Calibri" w:eastAsia="Calibri" w:hAnsi="Calibri" w:cs="Calibri"/>
          <w:b/>
          <w:lang w:val="es-ES"/>
        </w:rPr>
        <w:t xml:space="preserve"> Global Company</w:t>
      </w:r>
      <w:r w:rsidRPr="00EE386F">
        <w:rPr>
          <w:rFonts w:ascii="Calibri" w:eastAsia="Calibri" w:hAnsi="Calibri" w:cs="Calibri"/>
          <w:b/>
          <w:color w:val="000000"/>
          <w:lang w:val="es-ES"/>
        </w:rPr>
        <w:tab/>
        <w:t xml:space="preserve">2000-2008 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EE386F">
        <w:rPr>
          <w:rFonts w:ascii="Calibri" w:eastAsia="Calibri" w:hAnsi="Calibri" w:cs="Calibri"/>
          <w:b/>
          <w:sz w:val="20"/>
          <w:szCs w:val="20"/>
          <w:lang w:val="es-ES"/>
        </w:rPr>
        <w:t>i) Controlador y gerente de proyectos SAP Chile / Argentina; ii) Representante comercial; iii) Controlador financiero de o</w:t>
      </w:r>
      <w:r w:rsidRPr="00EE386F">
        <w:rPr>
          <w:rFonts w:ascii="Calibri" w:eastAsia="Calibri" w:hAnsi="Calibri" w:cs="Calibri"/>
          <w:b/>
          <w:sz w:val="20"/>
          <w:szCs w:val="20"/>
          <w:lang w:val="es-ES"/>
        </w:rPr>
        <w:t>peraciones chilenas; iv) Asistente de controlador de operaciones chilenas.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La función principal como Líder en finanzas fue la implementación de  impulsores y normas corporativas dentro de la organización, principal punto de contacto para impulsar la mejora comercial y desarrollar el conocimiento financiero en la organización, dur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ante los 10 años rol protagónico de los principales cambios de la compañía, incluida la implementación de ERP en todo el mundo, impulsando la capacitación de usuarios y mejores prácticas. Fuerte revisión orientada a procesos y análisis de todos los proceso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s financieros del negocio global. Líder de un equipo de 40 asociados y líder en la adopción de mejores prácticas que se implementaron en las 3 compañías (</w:t>
      </w:r>
      <w:proofErr w:type="spellStart"/>
      <w:r w:rsidRPr="00EE386F">
        <w:rPr>
          <w:rFonts w:ascii="Calibri" w:eastAsia="Calibri" w:hAnsi="Calibri" w:cs="Calibri"/>
          <w:sz w:val="21"/>
          <w:szCs w:val="21"/>
          <w:lang w:val="es-ES"/>
        </w:rPr>
        <w:t>Joy</w:t>
      </w:r>
      <w:proofErr w:type="spellEnd"/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Global).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 xml:space="preserve">   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Negociación de contratos LCM de los principales clientes de la industria minera chilena, con términos y condiciones favorables, asegurando el 60% de los ingresos de AM.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Negociación colectiva sindical (más de 150 miembros) en un año conflictivo en la indust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ria minera chilena (2007-2008), con cierre exitoso con un contrato de 3 años en relación </w:t>
      </w:r>
      <w:proofErr w:type="spellStart"/>
      <w:r w:rsidRPr="00EE386F">
        <w:rPr>
          <w:rFonts w:ascii="Calibri" w:eastAsia="Calibri" w:hAnsi="Calibri" w:cs="Calibri"/>
          <w:sz w:val="21"/>
          <w:szCs w:val="21"/>
          <w:lang w:val="es-ES"/>
        </w:rPr>
        <w:t>Win-Win</w:t>
      </w:r>
      <w:proofErr w:type="spellEnd"/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garantizando ahorros de U$ 1M desde  la oferta original y cierre por debajo del monto presupuestado.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Diseño e implementación el modelo de negocio en SAP como e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xperto en asuntos de negocios.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Capacitados de 360 usuarios en EE. UU. y Canadá liderando el  equipo para la implementación de FI/CO.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Apoyo del fuerte crecimiento de la compañía de $ 25 millones a principios de 2000 a $ 120 millones a fines de 2006, partici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pando en todos los procesos comerciales para apoyar el crecimiento, actuando como gerente de recursos humanos (1 año), gerente de logística (2 años) y gerente de TI (4 años) mientras la empresa estaba en crecimiento. Con el crecimiento de las áreas se llev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ó a cabo la transición a la posición de gerente recién creado.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El control y la reducción de costos conllevaron a una reducción del gasto auxiliar del 50%.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Líder de la estandarización de las funciones y procedimientos de compra, mejoras de control interno e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inicios de proceso de auditoría externa. Mejoras en la reducción de inventario de capital de trabajo de U$ 29M a U$ 21M: pago de deuda pendiente a HO de $15M (control estricto de efectivo).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b/>
          <w:sz w:val="21"/>
          <w:szCs w:val="21"/>
          <w:lang w:val="es-ES"/>
        </w:rPr>
        <w:t xml:space="preserve">Otros roles importantes como controlador y asistente de controlador en las divisiones RMS de </w:t>
      </w:r>
      <w:proofErr w:type="spellStart"/>
      <w:r w:rsidRPr="00EE386F">
        <w:rPr>
          <w:rFonts w:ascii="Calibri" w:eastAsia="Calibri" w:hAnsi="Calibri" w:cs="Calibri"/>
          <w:b/>
          <w:sz w:val="21"/>
          <w:szCs w:val="21"/>
          <w:lang w:val="es-ES"/>
        </w:rPr>
        <w:t>Schlumberger</w:t>
      </w:r>
      <w:proofErr w:type="spellEnd"/>
      <w:r w:rsidRPr="00EE386F">
        <w:rPr>
          <w:rFonts w:ascii="Calibri" w:eastAsia="Calibri" w:hAnsi="Calibri" w:cs="Calibri"/>
          <w:b/>
          <w:sz w:val="21"/>
          <w:szCs w:val="21"/>
          <w:lang w:val="es-ES"/>
        </w:rPr>
        <w:t xml:space="preserve"> Industries 1997 - 2000, con participación en: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Auditoría cruzada de </w:t>
      </w:r>
      <w:proofErr w:type="spellStart"/>
      <w:r w:rsidRPr="00EE386F">
        <w:rPr>
          <w:rFonts w:ascii="Calibri" w:eastAsia="Calibri" w:hAnsi="Calibri" w:cs="Calibri"/>
          <w:sz w:val="21"/>
          <w:szCs w:val="21"/>
          <w:lang w:val="es-ES"/>
        </w:rPr>
        <w:t>Schlumberger</w:t>
      </w:r>
      <w:proofErr w:type="spellEnd"/>
      <w:r w:rsidRPr="00EE386F">
        <w:rPr>
          <w:rFonts w:ascii="Calibri" w:eastAsia="Calibri" w:hAnsi="Calibri" w:cs="Calibri"/>
          <w:sz w:val="21"/>
          <w:szCs w:val="21"/>
          <w:lang w:val="es-ES"/>
        </w:rPr>
        <w:t>, líder del equipo y responsable del trabajo de auditoría de oficina c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orporativa.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Reorganización de las instalaciones de fabricación de América del Sur, trabajando directamente con el Vicepresidente de la región durante un año para racionalizar las unidades de fabricación.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P</w:t>
      </w:r>
      <w:r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rticipante de equipos de conocimiento, para poder 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compartir experiencias dentro de la empresa, participación como miembro de un equipo de conocimiento invitado a formar parte de los diferentes procesos de licitación llevados a cabo en América del Sur.</w:t>
      </w:r>
    </w:p>
    <w:p w:rsidR="00734345" w:rsidRPr="00EE386F" w:rsidRDefault="001D54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Experto en la materia e implementación del sistema en 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>América del Sur de MFG-Pro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left="720"/>
        <w:jc w:val="both"/>
        <w:rPr>
          <w:rFonts w:ascii="Calibri" w:eastAsia="Calibri" w:hAnsi="Calibri" w:cs="Calibri"/>
          <w:sz w:val="21"/>
          <w:szCs w:val="21"/>
          <w:lang w:val="es-ES"/>
        </w:rPr>
      </w:pPr>
      <w:bookmarkStart w:id="1" w:name="_GoBack"/>
      <w:bookmarkEnd w:id="1"/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ind w:left="720"/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p w:rsidR="00734345" w:rsidRDefault="001D54EA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mallCaps/>
          <w:sz w:val="24"/>
          <w:szCs w:val="24"/>
        </w:rPr>
        <w:t>Antecedentes</w:t>
      </w:r>
      <w:proofErr w:type="spellEnd"/>
      <w:r>
        <w:rPr>
          <w:rFonts w:ascii="Calibri" w:eastAsia="Calibri" w:hAnsi="Calibri" w:cs="Calibri"/>
          <w:b/>
          <w:smallCaps/>
          <w:sz w:val="24"/>
          <w:szCs w:val="24"/>
        </w:rPr>
        <w:t xml:space="preserve"> académicos</w:t>
      </w:r>
      <w:r>
        <w:rPr>
          <w:rFonts w:ascii="Calibri" w:eastAsia="Calibri" w:hAnsi="Calibri" w:cs="Calibri"/>
          <w:b/>
          <w:smallCaps/>
          <w:sz w:val="24"/>
          <w:szCs w:val="24"/>
        </w:rPr>
        <w:t xml:space="preserve">                                                                                                    </w:t>
      </w:r>
    </w:p>
    <w:p w:rsidR="00734345" w:rsidRDefault="001D54EA">
      <w:pPr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67512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8440" y="378000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67512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1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34345" w:rsidRDefault="001D54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EMBA, Freeman School of Business, Tulane University, USA</w:t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</w:r>
      <w:r w:rsidR="00EE386F">
        <w:rPr>
          <w:rFonts w:ascii="Calibri" w:eastAsia="Calibri" w:hAnsi="Calibri" w:cs="Calibri"/>
          <w:b/>
          <w:color w:val="000000"/>
          <w:sz w:val="21"/>
          <w:szCs w:val="21"/>
        </w:rPr>
        <w:t>2005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>MBA</w:t>
      </w:r>
      <w:r w:rsidRPr="00EE386F">
        <w:rPr>
          <w:rFonts w:ascii="Calibri" w:eastAsia="Calibri" w:hAnsi="Calibri" w:cs="Calibri"/>
          <w:sz w:val="21"/>
          <w:szCs w:val="21"/>
          <w:lang w:val="es-ES"/>
        </w:rPr>
        <w:t xml:space="preserve"> Universidad de </w:t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 xml:space="preserve">Chile, Santiago, Chile  </w:t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="00EE386F" w:rsidRPr="00EE386F">
        <w:rPr>
          <w:rFonts w:ascii="Calibri" w:eastAsia="Calibri" w:hAnsi="Calibri" w:cs="Calibri"/>
          <w:b/>
          <w:color w:val="000000"/>
          <w:sz w:val="21"/>
          <w:szCs w:val="21"/>
          <w:lang w:val="es-ES"/>
        </w:rPr>
        <w:t>2005</w:t>
      </w:r>
    </w:p>
    <w:p w:rsidR="00734345" w:rsidRPr="00EE386F" w:rsidRDefault="001D54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  <w:lang w:val="es-ES"/>
        </w:rPr>
      </w:pPr>
      <w:r w:rsidRPr="00EE386F">
        <w:rPr>
          <w:rFonts w:ascii="Calibri" w:eastAsia="Calibri" w:hAnsi="Calibri" w:cs="Calibri"/>
          <w:sz w:val="21"/>
          <w:szCs w:val="21"/>
          <w:lang w:val="es-ES"/>
        </w:rPr>
        <w:t>Contador Público Certificado y Auditor en Santiago Chile (Universidad de Talca</w:t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Pr="00EE386F">
        <w:rPr>
          <w:rFonts w:ascii="Calibri" w:eastAsia="Calibri" w:hAnsi="Calibri" w:cs="Calibri"/>
          <w:color w:val="000000"/>
          <w:sz w:val="21"/>
          <w:szCs w:val="21"/>
          <w:lang w:val="es-ES"/>
        </w:rPr>
        <w:tab/>
      </w:r>
      <w:r w:rsidR="00EE386F" w:rsidRPr="00EE386F">
        <w:rPr>
          <w:rFonts w:ascii="Calibri" w:eastAsia="Calibri" w:hAnsi="Calibri" w:cs="Calibri"/>
          <w:b/>
          <w:color w:val="000000"/>
          <w:sz w:val="21"/>
          <w:szCs w:val="21"/>
          <w:lang w:val="es-ES"/>
        </w:rPr>
        <w:t>1996</w:t>
      </w:r>
    </w:p>
    <w:p w:rsidR="00734345" w:rsidRPr="00EE386F" w:rsidRDefault="00734345">
      <w:pPr>
        <w:pBdr>
          <w:top w:val="nil"/>
          <w:left w:val="nil"/>
          <w:bottom w:val="nil"/>
          <w:right w:val="nil"/>
          <w:between w:val="nil"/>
        </w:pBdr>
        <w:tabs>
          <w:tab w:val="right" w:pos="10512"/>
        </w:tabs>
        <w:jc w:val="both"/>
        <w:rPr>
          <w:rFonts w:ascii="Calibri" w:eastAsia="Calibri" w:hAnsi="Calibri" w:cs="Calibri"/>
          <w:color w:val="000000"/>
          <w:sz w:val="21"/>
          <w:szCs w:val="21"/>
          <w:lang w:val="es-ES"/>
        </w:rPr>
      </w:pPr>
    </w:p>
    <w:sectPr w:rsidR="00734345" w:rsidRPr="00EE386F">
      <w:pgSz w:w="12240" w:h="15840"/>
      <w:pgMar w:top="709" w:right="864" w:bottom="851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4D7"/>
    <w:multiLevelType w:val="multilevel"/>
    <w:tmpl w:val="61C41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7F68E8"/>
    <w:multiLevelType w:val="multilevel"/>
    <w:tmpl w:val="D7929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5840E6B"/>
    <w:multiLevelType w:val="multilevel"/>
    <w:tmpl w:val="B6E4F5C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45"/>
    <w:rsid w:val="001D54EA"/>
    <w:rsid w:val="00734345"/>
    <w:rsid w:val="00D11547"/>
    <w:rsid w:val="00E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F242"/>
  <w15:docId w15:val="{0FC6DC43-6109-6647-9531-FBDA101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hyperlink" Target="mailto:afuentes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Alvaro Fuentes</cp:lastModifiedBy>
  <cp:revision>3</cp:revision>
  <dcterms:created xsi:type="dcterms:W3CDTF">2020-01-20T15:00:00Z</dcterms:created>
  <dcterms:modified xsi:type="dcterms:W3CDTF">2020-01-20T15:14:00Z</dcterms:modified>
</cp:coreProperties>
</file>